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0F" w:rsidRDefault="00F2190F">
      <w:pPr>
        <w:pStyle w:val="berschrift1"/>
        <w:rPr>
          <w:sz w:val="24"/>
        </w:rPr>
      </w:pPr>
      <w:r>
        <w:rPr>
          <w:sz w:val="24"/>
        </w:rPr>
        <w:t>Erklärung</w:t>
      </w:r>
    </w:p>
    <w:p w:rsidR="00F2190F" w:rsidRDefault="00F2190F">
      <w:pPr>
        <w:jc w:val="center"/>
        <w:rPr>
          <w:sz w:val="24"/>
          <w:lang w:val="de-DE"/>
        </w:rPr>
      </w:pPr>
    </w:p>
    <w:p w:rsidR="00F2190F" w:rsidRDefault="00F2190F">
      <w:pPr>
        <w:jc w:val="center"/>
        <w:rPr>
          <w:b/>
          <w:bCs w:val="0"/>
          <w:sz w:val="24"/>
          <w:lang w:val="de-DE"/>
        </w:rPr>
      </w:pPr>
      <w:r>
        <w:rPr>
          <w:b/>
          <w:bCs w:val="0"/>
          <w:sz w:val="24"/>
          <w:lang w:val="de-DE"/>
        </w:rPr>
        <w:t>für eine</w:t>
      </w:r>
    </w:p>
    <w:p w:rsidR="00F2190F" w:rsidRDefault="00F2190F">
      <w:pPr>
        <w:jc w:val="center"/>
        <w:rPr>
          <w:sz w:val="24"/>
          <w:lang w:val="de-DE"/>
        </w:rPr>
      </w:pPr>
    </w:p>
    <w:p w:rsidR="00F2190F" w:rsidRDefault="00F2190F">
      <w:pPr>
        <w:jc w:val="center"/>
        <w:rPr>
          <w:b/>
          <w:bCs w:val="0"/>
          <w:sz w:val="24"/>
          <w:lang w:val="de-DE"/>
        </w:rPr>
      </w:pPr>
      <w:r>
        <w:rPr>
          <w:b/>
          <w:bCs w:val="0"/>
          <w:sz w:val="24"/>
          <w:lang w:val="de-DE"/>
        </w:rPr>
        <w:t xml:space="preserve">Zukunftsfähige Vereinbarkeit von Wasserversorgung und Naturschutz </w:t>
      </w:r>
    </w:p>
    <w:p w:rsidR="00F2190F" w:rsidRDefault="00F2190F">
      <w:pPr>
        <w:rPr>
          <w:sz w:val="24"/>
          <w:lang w:val="de-DE"/>
        </w:rPr>
      </w:pPr>
    </w:p>
    <w:p w:rsidR="00F2190F" w:rsidRDefault="00F2190F" w:rsidP="00391503">
      <w:pPr>
        <w:spacing w:line="340" w:lineRule="atLeast"/>
        <w:rPr>
          <w:szCs w:val="22"/>
          <w:lang w:val="de-DE"/>
        </w:rPr>
      </w:pPr>
      <w:r>
        <w:rPr>
          <w:szCs w:val="22"/>
          <w:lang w:val="de-DE"/>
        </w:rPr>
        <w:t>Der Ballungsraum Rhein-Main soll mit zusätzlichem Fernwasser aus ländlichen Gebieten  versorgt werden. Gleichzeitig sollen im Raum Frankfurt funktionierende Wasserwerke stillg</w:t>
      </w:r>
      <w:r>
        <w:rPr>
          <w:szCs w:val="22"/>
          <w:lang w:val="de-DE"/>
        </w:rPr>
        <w:t>e</w:t>
      </w:r>
      <w:r>
        <w:rPr>
          <w:szCs w:val="22"/>
          <w:lang w:val="de-DE"/>
        </w:rPr>
        <w:t>legt werden. Dies führt zu einer höheren Belastung des ländlichen Raumes und im Ballung</w:t>
      </w:r>
      <w:r>
        <w:rPr>
          <w:szCs w:val="22"/>
          <w:lang w:val="de-DE"/>
        </w:rPr>
        <w:t>s</w:t>
      </w:r>
      <w:r>
        <w:rPr>
          <w:szCs w:val="22"/>
          <w:lang w:val="de-DE"/>
        </w:rPr>
        <w:t xml:space="preserve">gebiet </w:t>
      </w:r>
      <w:r w:rsidR="00391503" w:rsidRPr="00C76490">
        <w:rPr>
          <w:szCs w:val="22"/>
          <w:lang w:val="de-DE"/>
        </w:rPr>
        <w:t>mittel- und langfristig zur Aufgabe von Wassergewinnungsanlagen und Wasse</w:t>
      </w:r>
      <w:r w:rsidR="00391503" w:rsidRPr="00C76490">
        <w:rPr>
          <w:szCs w:val="22"/>
          <w:lang w:val="de-DE"/>
        </w:rPr>
        <w:t>r</w:t>
      </w:r>
      <w:r w:rsidR="00391503" w:rsidRPr="00C76490">
        <w:rPr>
          <w:szCs w:val="22"/>
          <w:lang w:val="de-DE"/>
        </w:rPr>
        <w:t>schutzgebieten.</w:t>
      </w:r>
    </w:p>
    <w:p w:rsidR="00391503" w:rsidRDefault="00391503" w:rsidP="00391503">
      <w:pPr>
        <w:spacing w:line="340" w:lineRule="atLeast"/>
        <w:rPr>
          <w:sz w:val="24"/>
          <w:lang w:val="de-DE"/>
        </w:rPr>
      </w:pPr>
    </w:p>
    <w:p w:rsidR="00F2190F" w:rsidRDefault="00F2190F">
      <w:pPr>
        <w:spacing w:line="340" w:lineRule="atLeast"/>
        <w:rPr>
          <w:szCs w:val="22"/>
          <w:lang w:val="de-DE"/>
        </w:rPr>
      </w:pPr>
      <w:r>
        <w:rPr>
          <w:szCs w:val="22"/>
          <w:lang w:val="de-DE"/>
        </w:rPr>
        <w:t xml:space="preserve">In Wahrnehmung unserer Verantwortung für eine vorausschauende Zukunftssicherung und </w:t>
      </w:r>
      <w:r w:rsidR="00C96A19">
        <w:rPr>
          <w:szCs w:val="22"/>
          <w:lang w:val="de-DE"/>
        </w:rPr>
        <w:t xml:space="preserve">der Daseinsvorsorge sowie </w:t>
      </w:r>
      <w:r>
        <w:rPr>
          <w:szCs w:val="22"/>
          <w:lang w:val="de-DE"/>
        </w:rPr>
        <w:t>angesichts der Gefährdungen die Grundwasserentnahmen in Kombination mit dem Klimawandel für den wasserabhängigen Naturraum zwangsläufig mit sich bringen, fo</w:t>
      </w:r>
      <w:r>
        <w:rPr>
          <w:szCs w:val="22"/>
          <w:lang w:val="de-DE"/>
        </w:rPr>
        <w:t>r</w:t>
      </w:r>
      <w:r>
        <w:rPr>
          <w:szCs w:val="22"/>
          <w:lang w:val="de-DE"/>
        </w:rPr>
        <w:t>dern die Unterzeichner:</w:t>
      </w:r>
    </w:p>
    <w:p w:rsidR="00F2190F" w:rsidRDefault="00F2190F">
      <w:pPr>
        <w:spacing w:line="340" w:lineRule="atLeast"/>
        <w:rPr>
          <w:sz w:val="28"/>
          <w:szCs w:val="31"/>
          <w:lang w:val="de-DE"/>
        </w:rPr>
      </w:pPr>
    </w:p>
    <w:p w:rsidR="00F2190F" w:rsidRDefault="00F2190F">
      <w:pPr>
        <w:spacing w:line="340" w:lineRule="atLeast"/>
        <w:rPr>
          <w:szCs w:val="22"/>
          <w:lang w:val="de-DE"/>
        </w:rPr>
      </w:pPr>
      <w:r>
        <w:rPr>
          <w:szCs w:val="22"/>
          <w:lang w:val="de-DE"/>
        </w:rPr>
        <w:t>Das Hessische Ministerium für Umwelt möge in seiner Funktion als die Oberste Wasser- und Naturschutzbehörde des Landes Hessen dafür Sorge tragen, dass Grundwasserentnahmen zur Versorgung mit Trinkwasser auf das unbedingt notwendige Maß der Versorgungssiche</w:t>
      </w:r>
      <w:r>
        <w:rPr>
          <w:szCs w:val="22"/>
          <w:lang w:val="de-DE"/>
        </w:rPr>
        <w:t>r</w:t>
      </w:r>
      <w:r>
        <w:rPr>
          <w:szCs w:val="22"/>
          <w:lang w:val="de-DE"/>
        </w:rPr>
        <w:t>heit beschränkt werden. Die Chancen, die sich hieraus für eine langfristige Vereinbarkeit von Wassernutzung und Naturschutz ergeben, sollten wahrgenommen werden.</w:t>
      </w:r>
    </w:p>
    <w:p w:rsidR="00F2190F" w:rsidRDefault="00F2190F">
      <w:pPr>
        <w:spacing w:line="283" w:lineRule="atLeast"/>
        <w:rPr>
          <w:szCs w:val="22"/>
          <w:lang w:val="de-DE"/>
        </w:rPr>
      </w:pPr>
    </w:p>
    <w:p w:rsidR="00F2190F" w:rsidRDefault="00F2190F">
      <w:pPr>
        <w:spacing w:line="283" w:lineRule="atLeast"/>
        <w:rPr>
          <w:szCs w:val="22"/>
          <w:lang w:val="de-DE"/>
        </w:rPr>
      </w:pPr>
      <w:r>
        <w:rPr>
          <w:szCs w:val="22"/>
          <w:lang w:val="de-DE"/>
        </w:rPr>
        <w:t>Hierfür sind insbesondere in Verbrauchsgebieten, die ihren Trinkwasserbedarf nicht vollstä</w:t>
      </w:r>
      <w:r>
        <w:rPr>
          <w:szCs w:val="22"/>
          <w:lang w:val="de-DE"/>
        </w:rPr>
        <w:t>n</w:t>
      </w:r>
      <w:r>
        <w:rPr>
          <w:szCs w:val="22"/>
          <w:lang w:val="de-DE"/>
        </w:rPr>
        <w:t>dig aus eigenen Wasservorkommen decken können und die auf das Zuführen von Fernwa</w:t>
      </w:r>
      <w:r>
        <w:rPr>
          <w:szCs w:val="22"/>
          <w:lang w:val="de-DE"/>
        </w:rPr>
        <w:t>s</w:t>
      </w:r>
      <w:r>
        <w:rPr>
          <w:szCs w:val="22"/>
          <w:lang w:val="de-DE"/>
        </w:rPr>
        <w:t xml:space="preserve">ser angewiesen sind, unter anderen die folgenden Maßnahmen zu ergreifen: </w:t>
      </w:r>
    </w:p>
    <w:p w:rsidR="00F2190F" w:rsidRDefault="00F2190F">
      <w:pPr>
        <w:spacing w:line="283" w:lineRule="atLeast"/>
        <w:rPr>
          <w:sz w:val="12"/>
          <w:szCs w:val="13"/>
          <w:lang w:val="de-DE"/>
        </w:rPr>
      </w:pPr>
    </w:p>
    <w:p w:rsidR="00F2190F" w:rsidRDefault="00F2190F">
      <w:pPr>
        <w:spacing w:line="283" w:lineRule="atLeast"/>
        <w:rPr>
          <w:szCs w:val="22"/>
          <w:lang w:val="de-DE"/>
        </w:rPr>
      </w:pPr>
      <w:r>
        <w:rPr>
          <w:szCs w:val="22"/>
          <w:lang w:val="de-DE"/>
        </w:rPr>
        <w:t>Stärkung der Eigenversorgung und Eigenverantwortung durch Schutz, Erhalt und Verbess</w:t>
      </w:r>
      <w:r>
        <w:rPr>
          <w:szCs w:val="22"/>
          <w:lang w:val="de-DE"/>
        </w:rPr>
        <w:t>e</w:t>
      </w:r>
      <w:r>
        <w:rPr>
          <w:szCs w:val="22"/>
          <w:lang w:val="de-DE"/>
        </w:rPr>
        <w:t xml:space="preserve">rung der gebietseigenen Wasservorkommen und Versorgungsanlagen. Aktivieren bzw. </w:t>
      </w:r>
      <w:r w:rsidR="00391503">
        <w:rPr>
          <w:szCs w:val="22"/>
          <w:lang w:val="de-DE"/>
        </w:rPr>
        <w:t>g</w:t>
      </w:r>
      <w:r w:rsidR="00391503">
        <w:rPr>
          <w:szCs w:val="22"/>
          <w:lang w:val="de-DE"/>
        </w:rPr>
        <w:t>e</w:t>
      </w:r>
      <w:r w:rsidR="00391503">
        <w:rPr>
          <w:szCs w:val="22"/>
          <w:lang w:val="de-DE"/>
        </w:rPr>
        <w:t>ge</w:t>
      </w:r>
      <w:r w:rsidR="00C96A19">
        <w:rPr>
          <w:szCs w:val="22"/>
          <w:lang w:val="de-DE"/>
        </w:rPr>
        <w:t>be</w:t>
      </w:r>
      <w:r w:rsidR="00391503">
        <w:rPr>
          <w:szCs w:val="22"/>
          <w:lang w:val="de-DE"/>
        </w:rPr>
        <w:t>nenfalls</w:t>
      </w:r>
      <w:r>
        <w:rPr>
          <w:szCs w:val="22"/>
          <w:lang w:val="de-DE"/>
        </w:rPr>
        <w:t xml:space="preserve">. Reaktivieren der gebietseigenen Wasser-Versorgungspotentiale. </w:t>
      </w:r>
    </w:p>
    <w:p w:rsidR="00F2190F" w:rsidRDefault="00F2190F">
      <w:pPr>
        <w:spacing w:line="283" w:lineRule="atLeast"/>
        <w:rPr>
          <w:sz w:val="12"/>
          <w:szCs w:val="13"/>
          <w:lang w:val="de-DE"/>
        </w:rPr>
      </w:pPr>
    </w:p>
    <w:p w:rsidR="00F2190F" w:rsidRDefault="00F2190F">
      <w:pPr>
        <w:spacing w:line="283" w:lineRule="atLeast"/>
        <w:rPr>
          <w:szCs w:val="22"/>
          <w:lang w:val="de-DE"/>
        </w:rPr>
      </w:pPr>
      <w:r>
        <w:rPr>
          <w:szCs w:val="22"/>
          <w:lang w:val="de-DE"/>
        </w:rPr>
        <w:t>Unterlassung aller Maßnahmen die dazu geeignet sind die Eigenversorgung dieser Ve</w:t>
      </w:r>
      <w:r>
        <w:rPr>
          <w:szCs w:val="22"/>
          <w:lang w:val="de-DE"/>
        </w:rPr>
        <w:t>r</w:t>
      </w:r>
      <w:r>
        <w:rPr>
          <w:szCs w:val="22"/>
          <w:lang w:val="de-DE"/>
        </w:rPr>
        <w:t>brauchsgebiete zu schwächen. Kein</w:t>
      </w:r>
      <w:r w:rsidR="00C96A19">
        <w:rPr>
          <w:szCs w:val="22"/>
          <w:lang w:val="de-DE"/>
        </w:rPr>
        <w:t>e</w:t>
      </w:r>
      <w:r>
        <w:rPr>
          <w:szCs w:val="22"/>
          <w:lang w:val="de-DE"/>
        </w:rPr>
        <w:t xml:space="preserve"> </w:t>
      </w:r>
      <w:r w:rsidR="00C96A19">
        <w:rPr>
          <w:szCs w:val="22"/>
          <w:lang w:val="de-DE"/>
        </w:rPr>
        <w:t xml:space="preserve">Reduzierung </w:t>
      </w:r>
      <w:r>
        <w:rPr>
          <w:szCs w:val="22"/>
          <w:lang w:val="de-DE"/>
        </w:rPr>
        <w:t>einer möglichen Eigenve</w:t>
      </w:r>
      <w:r>
        <w:rPr>
          <w:szCs w:val="22"/>
          <w:lang w:val="de-DE"/>
        </w:rPr>
        <w:t>r</w:t>
      </w:r>
      <w:r>
        <w:rPr>
          <w:szCs w:val="22"/>
          <w:lang w:val="de-DE"/>
        </w:rPr>
        <w:t>sorgung durch das zusätzliche Herbeiführen von Fernwasser. Keine neuen Fernwasserleitungen</w:t>
      </w:r>
      <w:r w:rsidR="00C96A19">
        <w:rPr>
          <w:szCs w:val="22"/>
          <w:lang w:val="de-DE"/>
        </w:rPr>
        <w:t xml:space="preserve"> zur E</w:t>
      </w:r>
      <w:r w:rsidR="00C96A19">
        <w:rPr>
          <w:szCs w:val="22"/>
          <w:lang w:val="de-DE"/>
        </w:rPr>
        <w:t>r</w:t>
      </w:r>
      <w:r w:rsidR="00C96A19">
        <w:rPr>
          <w:szCs w:val="22"/>
          <w:lang w:val="de-DE"/>
        </w:rPr>
        <w:t>schließung neuer Potentiale für den Ballungsraum</w:t>
      </w:r>
      <w:r>
        <w:rPr>
          <w:szCs w:val="22"/>
          <w:lang w:val="de-DE"/>
        </w:rPr>
        <w:t>.</w:t>
      </w:r>
    </w:p>
    <w:p w:rsidR="00F2190F" w:rsidRDefault="00F2190F">
      <w:pPr>
        <w:spacing w:line="283" w:lineRule="atLeast"/>
        <w:rPr>
          <w:sz w:val="12"/>
          <w:szCs w:val="13"/>
          <w:lang w:val="de-DE"/>
        </w:rPr>
      </w:pPr>
    </w:p>
    <w:p w:rsidR="00F2190F" w:rsidRDefault="00F2190F">
      <w:pPr>
        <w:spacing w:line="283" w:lineRule="atLeast"/>
        <w:rPr>
          <w:szCs w:val="22"/>
          <w:lang w:val="de-DE"/>
        </w:rPr>
      </w:pPr>
      <w:r>
        <w:rPr>
          <w:szCs w:val="22"/>
          <w:lang w:val="de-DE"/>
        </w:rPr>
        <w:t xml:space="preserve">Sparsame Verwendung von Trinkwasser und </w:t>
      </w:r>
      <w:r w:rsidR="00C96A19">
        <w:rPr>
          <w:szCs w:val="22"/>
          <w:lang w:val="de-DE"/>
        </w:rPr>
        <w:t>Reduzierung von Wasserverlusten</w:t>
      </w:r>
      <w:r>
        <w:rPr>
          <w:szCs w:val="22"/>
          <w:lang w:val="de-DE"/>
        </w:rPr>
        <w:t>. Weitg</w:t>
      </w:r>
      <w:r>
        <w:rPr>
          <w:szCs w:val="22"/>
          <w:lang w:val="de-DE"/>
        </w:rPr>
        <w:t>e</w:t>
      </w:r>
      <w:r>
        <w:rPr>
          <w:szCs w:val="22"/>
          <w:lang w:val="de-DE"/>
        </w:rPr>
        <w:t>hendes Ersetzen von Trinkwasser durch Nicht-Trinkwasser für dafür geeignete Anwe</w:t>
      </w:r>
      <w:r>
        <w:rPr>
          <w:szCs w:val="22"/>
          <w:lang w:val="de-DE"/>
        </w:rPr>
        <w:t>n</w:t>
      </w:r>
      <w:r>
        <w:rPr>
          <w:szCs w:val="22"/>
          <w:lang w:val="de-DE"/>
        </w:rPr>
        <w:t>dungsbereiche wie beispielsweise Kühlen, Waschen / Reinigen oder WC-Spülung u.a.m., und für in Frage kommende Objekte, vor allem im Neubaubereich. Nicht-Trinkwasser aus gebietseigenen Vorkommen, z.B. aus Nicht-Trinkwasser-Brunnen, soll umweltschonend g</w:t>
      </w:r>
      <w:r>
        <w:rPr>
          <w:szCs w:val="22"/>
          <w:lang w:val="de-DE"/>
        </w:rPr>
        <w:t>e</w:t>
      </w:r>
      <w:r>
        <w:rPr>
          <w:szCs w:val="22"/>
          <w:lang w:val="de-DE"/>
        </w:rPr>
        <w:t>wonnen we</w:t>
      </w:r>
      <w:r>
        <w:rPr>
          <w:szCs w:val="22"/>
          <w:lang w:val="de-DE"/>
        </w:rPr>
        <w:t>r</w:t>
      </w:r>
      <w:r>
        <w:rPr>
          <w:szCs w:val="22"/>
          <w:lang w:val="de-DE"/>
        </w:rPr>
        <w:t>den.</w:t>
      </w:r>
    </w:p>
    <w:p w:rsidR="00F2190F" w:rsidRDefault="00F2190F">
      <w:pPr>
        <w:spacing w:line="283" w:lineRule="atLeast"/>
        <w:rPr>
          <w:sz w:val="28"/>
          <w:szCs w:val="31"/>
          <w:lang w:val="de-DE"/>
        </w:rPr>
      </w:pPr>
    </w:p>
    <w:p w:rsidR="00F2190F" w:rsidRDefault="00F2190F" w:rsidP="00C76490">
      <w:pPr>
        <w:spacing w:line="340" w:lineRule="atLeast"/>
        <w:rPr>
          <w:rFonts w:ascii="Tele-GroteskNCNor" w:hAnsi="Tele-GroteskNCNor"/>
          <w:szCs w:val="22"/>
          <w:lang w:val="de-DE"/>
        </w:rPr>
      </w:pPr>
      <w:r>
        <w:rPr>
          <w:szCs w:val="22"/>
          <w:lang w:val="de-DE"/>
        </w:rPr>
        <w:t>Die Oberste Wasser- und Naturschutzbehörde des Landes wird aufgefordert, in Bezugsg</w:t>
      </w:r>
      <w:r>
        <w:rPr>
          <w:szCs w:val="22"/>
          <w:lang w:val="de-DE"/>
        </w:rPr>
        <w:t>e</w:t>
      </w:r>
      <w:r>
        <w:rPr>
          <w:szCs w:val="22"/>
          <w:lang w:val="de-DE"/>
        </w:rPr>
        <w:t xml:space="preserve">bieten für Fernwasser solche und andere Maßnahmen zur Stärkung der Eigenversorgung und zur Minderung von Fernwasserbezug zu fördern. </w:t>
      </w:r>
      <w:bookmarkStart w:id="0" w:name="_GoBack"/>
      <w:bookmarkEnd w:id="0"/>
    </w:p>
    <w:sectPr w:rsidR="00F2190F">
      <w:pgSz w:w="11906" w:h="16838"/>
      <w:pgMar w:top="1418" w:right="1418" w:bottom="1134" w:left="1418" w:header="720" w:footer="720" w:gutter="0"/>
      <w:cols w:space="720"/>
      <w:docGrid w:linePitch="2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le-GroteskNCNo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autoHyphenation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03"/>
    <w:rsid w:val="00391503"/>
    <w:rsid w:val="005D11E3"/>
    <w:rsid w:val="007A7A9E"/>
    <w:rsid w:val="00C76490"/>
    <w:rsid w:val="00C96A19"/>
    <w:rsid w:val="00F2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bCs/>
      <w:sz w:val="22"/>
      <w:szCs w:val="24"/>
      <w:lang w:val="en-GB"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  <w:bCs w:val="0"/>
      <w:lang w:val="de-D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bCs w:val="0"/>
      <w:lang w:val="de-DE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4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15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91503"/>
    <w:rPr>
      <w:rFonts w:ascii="Tahoma" w:hAnsi="Tahoma" w:cs="Tahoma"/>
      <w:bCs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bCs/>
      <w:sz w:val="22"/>
      <w:szCs w:val="24"/>
      <w:lang w:val="en-GB"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  <w:bCs w:val="0"/>
      <w:lang w:val="de-D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bCs w:val="0"/>
      <w:lang w:val="de-DE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4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15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91503"/>
    <w:rPr>
      <w:rFonts w:ascii="Tahoma" w:hAnsi="Tahoma" w:cs="Tahoma"/>
      <w:bCs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67E4-7C74-45D2-9882-F43F69A3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</vt:lpstr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</dc:title>
  <dc:creator>OW</dc:creator>
  <cp:lastModifiedBy>user</cp:lastModifiedBy>
  <cp:revision>5</cp:revision>
  <cp:lastPrinted>2015-03-30T18:27:00Z</cp:lastPrinted>
  <dcterms:created xsi:type="dcterms:W3CDTF">2015-03-30T18:25:00Z</dcterms:created>
  <dcterms:modified xsi:type="dcterms:W3CDTF">2015-03-30T18:27:00Z</dcterms:modified>
</cp:coreProperties>
</file>